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99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09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</w:t>
      </w:r>
      <w:r>
        <w:rPr>
          <w:rFonts w:ascii="Times New Roman" w:eastAsia="Times New Roman" w:hAnsi="Times New Roman" w:cs="Times New Roman"/>
          <w:sz w:val="27"/>
          <w:szCs w:val="27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Иванова </w:t>
      </w:r>
      <w:r>
        <w:rPr>
          <w:rStyle w:val="cat-UserDefinedgrp-32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работающего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2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1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РФ, административный штраф в размере </w:t>
      </w:r>
      <w:r>
        <w:rPr>
          <w:rStyle w:val="cat-Sumgrp-19rplc-1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04.07.2025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18810586250704053703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FIOgrp-16rplc-1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14.01.2026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18810886260920001890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18810586250704053703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7"/>
          <w:szCs w:val="27"/>
        </w:rPr>
        <w:t>выпиской из ГИС ГМП.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04.07.2025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18810586250704053703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16.07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смягчающие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7"/>
          <w:szCs w:val="27"/>
        </w:rPr>
        <w:t>делах санкции ч.1 ст.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7"/>
          <w:szCs w:val="27"/>
        </w:rPr>
        <w:t>.ст.</w:t>
      </w:r>
      <w:r>
        <w:rPr>
          <w:rFonts w:ascii="Times New Roman" w:eastAsia="Times New Roman" w:hAnsi="Times New Roman" w:cs="Times New Roman"/>
          <w:sz w:val="27"/>
          <w:szCs w:val="27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Иванова </w:t>
      </w:r>
      <w:r>
        <w:rPr>
          <w:rStyle w:val="cat-UserDefinedgrp-32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виде административного штрафа в размере </w:t>
      </w:r>
      <w:r>
        <w:rPr>
          <w:rStyle w:val="cat-Sumgrp-20rplc-3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5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</w:t>
      </w:r>
      <w:r>
        <w:rPr>
          <w:rStyle w:val="cat-Addressgrp-6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0412365400805000992620104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5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5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Style w:val="cat-FIOgrp-18rplc-43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75768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9rplc-17">
    <w:name w:val="cat-Sum grp-19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76E50-DAB3-4A04-9560-DE23B8B8BD5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